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E86D6" w14:textId="77777777" w:rsidR="00DD4F73" w:rsidRPr="00C0240A" w:rsidRDefault="00DD4F73" w:rsidP="00C0240A">
      <w:pPr>
        <w:pStyle w:val="documenttitle"/>
        <w:shd w:val="clear" w:color="auto" w:fill="FFFFFF"/>
        <w:spacing w:before="120" w:beforeAutospacing="0" w:after="120" w:afterAutospacing="0"/>
        <w:jc w:val="both"/>
        <w:textAlignment w:val="baseline"/>
        <w:rPr>
          <w:rFonts w:ascii="Arial" w:hAnsi="Arial" w:cs="Arial"/>
          <w:b/>
          <w:bCs/>
          <w:color w:val="505050"/>
        </w:rPr>
      </w:pPr>
      <w:r w:rsidRPr="00C0240A">
        <w:rPr>
          <w:rFonts w:ascii="Arial" w:hAnsi="Arial" w:cs="Arial"/>
          <w:b/>
          <w:bCs/>
          <w:color w:val="505050"/>
        </w:rPr>
        <w:t>Alcance del "ardid" o "engaño" requerido en el delito de evasión fiscal</w:t>
      </w:r>
    </w:p>
    <w:p w14:paraId="46B79FBA" w14:textId="77777777" w:rsidR="00DD4F73" w:rsidRPr="00C0240A" w:rsidRDefault="00DD4F73" w:rsidP="00C0240A">
      <w:pPr>
        <w:pStyle w:val="documenttitle"/>
        <w:shd w:val="clear" w:color="auto" w:fill="FFFFFF"/>
        <w:spacing w:before="120" w:beforeAutospacing="0" w:after="120" w:afterAutospacing="0"/>
        <w:jc w:val="both"/>
        <w:textAlignment w:val="baseline"/>
        <w:rPr>
          <w:rFonts w:ascii="Arial" w:hAnsi="Arial" w:cs="Arial"/>
          <w:b/>
          <w:bCs/>
          <w:color w:val="505050"/>
        </w:rPr>
      </w:pPr>
      <w:proofErr w:type="spellStart"/>
      <w:r w:rsidRPr="00C0240A">
        <w:rPr>
          <w:rFonts w:ascii="Arial" w:hAnsi="Arial" w:cs="Arial"/>
          <w:b/>
          <w:bCs/>
          <w:color w:val="505050"/>
        </w:rPr>
        <w:t>Aisenberg</w:t>
      </w:r>
      <w:proofErr w:type="spellEnd"/>
      <w:r w:rsidRPr="00C0240A">
        <w:rPr>
          <w:rFonts w:ascii="Arial" w:hAnsi="Arial" w:cs="Arial"/>
          <w:b/>
          <w:bCs/>
          <w:color w:val="505050"/>
        </w:rPr>
        <w:t>, Micaela</w:t>
      </w:r>
    </w:p>
    <w:p w14:paraId="0D777033" w14:textId="77777777" w:rsidR="00DD4F73" w:rsidRPr="00C0240A" w:rsidRDefault="00DD4F73" w:rsidP="00C0240A">
      <w:pPr>
        <w:pStyle w:val="documenttitle"/>
        <w:shd w:val="clear" w:color="auto" w:fill="FFFFFF"/>
        <w:spacing w:before="120" w:beforeAutospacing="0" w:after="120" w:afterAutospacing="0"/>
        <w:jc w:val="both"/>
        <w:textAlignment w:val="baseline"/>
        <w:rPr>
          <w:rFonts w:ascii="Arial" w:hAnsi="Arial" w:cs="Arial"/>
          <w:b/>
          <w:bCs/>
          <w:color w:val="505050"/>
        </w:rPr>
      </w:pPr>
      <w:proofErr w:type="spellStart"/>
      <w:r w:rsidRPr="00C0240A">
        <w:rPr>
          <w:rFonts w:ascii="Arial" w:hAnsi="Arial" w:cs="Arial"/>
          <w:b/>
          <w:bCs/>
          <w:color w:val="505050"/>
        </w:rPr>
        <w:t>Miani</w:t>
      </w:r>
      <w:proofErr w:type="spellEnd"/>
      <w:r w:rsidRPr="00C0240A">
        <w:rPr>
          <w:rFonts w:ascii="Arial" w:hAnsi="Arial" w:cs="Arial"/>
          <w:b/>
          <w:bCs/>
          <w:color w:val="505050"/>
        </w:rPr>
        <w:t>, Gastón Armando</w:t>
      </w:r>
    </w:p>
    <w:p w14:paraId="3A180EE6" w14:textId="77777777" w:rsidR="00DD4F73" w:rsidRPr="00C0240A" w:rsidRDefault="00DD4F73" w:rsidP="00C0240A">
      <w:pPr>
        <w:pStyle w:val="documenttitle"/>
        <w:shd w:val="clear" w:color="auto" w:fill="FFFFFF"/>
        <w:spacing w:before="0" w:beforeAutospacing="0" w:after="0" w:afterAutospacing="0"/>
        <w:jc w:val="both"/>
        <w:textAlignment w:val="baseline"/>
        <w:rPr>
          <w:rFonts w:ascii="Arial" w:hAnsi="Arial" w:cs="Arial"/>
          <w:b/>
          <w:bCs/>
          <w:color w:val="505050"/>
        </w:rPr>
      </w:pPr>
      <w:r w:rsidRPr="00C0240A">
        <w:rPr>
          <w:rStyle w:val="Ttulo1"/>
          <w:rFonts w:ascii="Arial" w:hAnsi="Arial" w:cs="Arial"/>
          <w:b/>
          <w:bCs/>
          <w:color w:val="505050"/>
          <w:bdr w:val="none" w:sz="0" w:space="0" w:color="auto" w:frame="1"/>
        </w:rPr>
        <w:t>Publicado en: </w:t>
      </w:r>
      <w:r w:rsidRPr="00C0240A">
        <w:rPr>
          <w:rStyle w:val="headtext"/>
          <w:rFonts w:ascii="Arial" w:hAnsi="Arial" w:cs="Arial"/>
          <w:b/>
          <w:bCs/>
          <w:color w:val="505050"/>
          <w:bdr w:val="none" w:sz="0" w:space="0" w:color="auto" w:frame="1"/>
        </w:rPr>
        <w:t>LA LEY 01/03/2023, 8</w:t>
      </w:r>
    </w:p>
    <w:bookmarkStart w:id="0" w:name="FN*v"/>
    <w:bookmarkEnd w:id="0"/>
    <w:p w14:paraId="48005423"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rPr>
        <w:fldChar w:fldCharType="begin"/>
      </w:r>
      <w:r w:rsidRPr="00C0240A">
        <w:rPr>
          <w:rFonts w:ascii="Arial" w:hAnsi="Arial" w:cs="Arial"/>
        </w:rPr>
        <w:instrText xml:space="preserve"> HYPERLINK "https://www.checkpoint.laleyonline.com.ar/maf/app/document?parentguid=i0AD7624807913C908107A83EFD21E967&amp;tocguid=i0AD7624807913C908107A83E0528EAED&amp;searchFrom=advance&amp;docguid=iEC228BC474B50ADD51CCE594DCE16CA4" \l "FN*" </w:instrText>
      </w:r>
      <w:r w:rsidRPr="00C0240A">
        <w:rPr>
          <w:rFonts w:ascii="Arial" w:hAnsi="Arial" w:cs="Arial"/>
        </w:rPr>
        <w:fldChar w:fldCharType="separate"/>
      </w:r>
      <w:r w:rsidRPr="00C0240A">
        <w:rPr>
          <w:rStyle w:val="Hipervnculo"/>
          <w:rFonts w:ascii="Arial" w:hAnsi="Arial" w:cs="Arial"/>
          <w:color w:val="0083BF"/>
          <w:bdr w:val="none" w:sz="0" w:space="0" w:color="auto" w:frame="1"/>
        </w:rPr>
        <w:t>(*)</w:t>
      </w:r>
      <w:r w:rsidRPr="00C0240A">
        <w:rPr>
          <w:rFonts w:ascii="Arial" w:hAnsi="Arial" w:cs="Arial"/>
        </w:rPr>
        <w:fldChar w:fldCharType="end"/>
      </w:r>
    </w:p>
    <w:bookmarkStart w:id="1" w:name="FN**v"/>
    <w:bookmarkEnd w:id="1"/>
    <w:p w14:paraId="4FA8A099"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rPr>
        <w:fldChar w:fldCharType="begin"/>
      </w:r>
      <w:r w:rsidRPr="00C0240A">
        <w:rPr>
          <w:rFonts w:ascii="Arial" w:hAnsi="Arial" w:cs="Arial"/>
        </w:rPr>
        <w:instrText xml:space="preserve"> HYPERLINK "https://www.checkpoint.laleyonline.com.ar/maf/app/document?parentguid=i0AD7624807913C908107A83EFD21E967&amp;tocguid=i0AD7624807913C908107A83E0528EAED&amp;searchFrom=advance&amp;docguid=iEC228BC474B50ADD51CCE594DCE16CA4" \l "FN**" </w:instrText>
      </w:r>
      <w:r w:rsidRPr="00C0240A">
        <w:rPr>
          <w:rFonts w:ascii="Arial" w:hAnsi="Arial" w:cs="Arial"/>
        </w:rPr>
        <w:fldChar w:fldCharType="separate"/>
      </w:r>
      <w:r w:rsidRPr="00C0240A">
        <w:rPr>
          <w:rStyle w:val="Hipervnculo"/>
          <w:rFonts w:ascii="Arial" w:hAnsi="Arial" w:cs="Arial"/>
          <w:color w:val="0083BF"/>
          <w:bdr w:val="none" w:sz="0" w:space="0" w:color="auto" w:frame="1"/>
        </w:rPr>
        <w:t>(**)</w:t>
      </w:r>
      <w:r w:rsidRPr="00C0240A">
        <w:rPr>
          <w:rFonts w:ascii="Arial" w:hAnsi="Arial" w:cs="Arial"/>
        </w:rPr>
        <w:fldChar w:fldCharType="end"/>
      </w:r>
    </w:p>
    <w:p w14:paraId="1325FE47"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color w:val="505050"/>
        </w:rPr>
        <w:t>En esta oportunidad compartiremos nuestros comentarios sobre el reciente fallo de la Cámara Federal de Casación Penal en el caso "Fernández Vila", sentencia del 14 de septiembre del 2022 </w:t>
      </w:r>
      <w:bookmarkStart w:id="2" w:name="FN1v"/>
      <w:bookmarkEnd w:id="2"/>
      <w:r w:rsidRPr="00C0240A">
        <w:rPr>
          <w:rFonts w:ascii="Arial" w:hAnsi="Arial" w:cs="Arial"/>
          <w:color w:val="505050"/>
        </w:rPr>
        <w:fldChar w:fldCharType="begin"/>
      </w:r>
      <w:r w:rsidRPr="00C0240A">
        <w:rPr>
          <w:rFonts w:ascii="Arial" w:hAnsi="Arial" w:cs="Arial"/>
          <w:color w:val="505050"/>
        </w:rPr>
        <w:instrText xml:space="preserve"> HYPERLINK "https://www.checkpoint.laleyonline.com.ar/maf/app/document?parentguid=i0AD7624807913C908107A83EFD21E967&amp;tocguid=i0AD7624807913C908107A83E0528EAED&amp;searchFrom=advance&amp;docguid=iEC228BC474B50ADD51CCE594DCE16CA4" \l "FN1" </w:instrText>
      </w:r>
      <w:r w:rsidRPr="00C0240A">
        <w:rPr>
          <w:rFonts w:ascii="Arial" w:hAnsi="Arial" w:cs="Arial"/>
          <w:color w:val="505050"/>
        </w:rPr>
        <w:fldChar w:fldCharType="separate"/>
      </w:r>
      <w:r w:rsidRPr="00C0240A">
        <w:rPr>
          <w:rStyle w:val="Hipervnculo"/>
          <w:rFonts w:ascii="Arial" w:hAnsi="Arial" w:cs="Arial"/>
          <w:color w:val="0083BF"/>
          <w:bdr w:val="none" w:sz="0" w:space="0" w:color="auto" w:frame="1"/>
        </w:rPr>
        <w:t>(1)</w:t>
      </w:r>
      <w:r w:rsidRPr="00C0240A">
        <w:rPr>
          <w:rFonts w:ascii="Arial" w:hAnsi="Arial" w:cs="Arial"/>
          <w:color w:val="505050"/>
        </w:rPr>
        <w:fldChar w:fldCharType="end"/>
      </w:r>
      <w:r w:rsidRPr="00C0240A">
        <w:rPr>
          <w:rFonts w:ascii="Arial" w:hAnsi="Arial" w:cs="Arial"/>
          <w:color w:val="505050"/>
        </w:rPr>
        <w:t xml:space="preserve">. Haremos hincapié en la disidencia del Dr. </w:t>
      </w:r>
      <w:proofErr w:type="spellStart"/>
      <w:r w:rsidRPr="00C0240A">
        <w:rPr>
          <w:rFonts w:ascii="Arial" w:hAnsi="Arial" w:cs="Arial"/>
          <w:color w:val="505050"/>
        </w:rPr>
        <w:t>Borinsky</w:t>
      </w:r>
      <w:proofErr w:type="spellEnd"/>
      <w:r w:rsidRPr="00C0240A">
        <w:rPr>
          <w:rFonts w:ascii="Arial" w:hAnsi="Arial" w:cs="Arial"/>
          <w:color w:val="505050"/>
        </w:rPr>
        <w:t>, que plantea una definición llamativamente amplia y preocupante del concepto de "ardid" o "engaño", en el marco del delito de evasión.</w:t>
      </w:r>
    </w:p>
    <w:p w14:paraId="3398A477"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b/>
          <w:bCs/>
          <w:color w:val="505050"/>
        </w:rPr>
        <w:t>I. Antecedentes del caso</w:t>
      </w:r>
    </w:p>
    <w:p w14:paraId="01EA2554"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color w:val="505050"/>
        </w:rPr>
        <w:t>En esta causa se les imputó a los responsables de la firma </w:t>
      </w:r>
      <w:r w:rsidRPr="00C0240A">
        <w:rPr>
          <w:rStyle w:val="nfasis"/>
          <w:rFonts w:ascii="Arial" w:hAnsi="Arial" w:cs="Arial"/>
          <w:color w:val="505050"/>
          <w:bdr w:val="none" w:sz="0" w:space="0" w:color="auto" w:frame="1"/>
        </w:rPr>
        <w:t>Espert S.A.</w:t>
      </w:r>
      <w:r w:rsidRPr="00C0240A">
        <w:rPr>
          <w:rFonts w:ascii="Arial" w:hAnsi="Arial" w:cs="Arial"/>
          <w:color w:val="505050"/>
        </w:rPr>
        <w:t> la omisión de aplicar en sus declaraciones juradas el artículo 15 de la ley 24.674 —luego modificado por el art. 2º de la ley 26.467—, en cuanto indica que el monto a ingresar por los impuestos internos al tabaco generados por sus ventas no podrá ser inferior al 75% del impuesto correspondiente al precio de la categoría más vendida de cigarrillo.</w:t>
      </w:r>
    </w:p>
    <w:p w14:paraId="0EA6AE8E"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Tanto el magistrado de primera instancia como su alzada, la Cámara Federal de Apelaciones de La Plata, dispusieron el sobreseimiento de los acusados.</w:t>
      </w:r>
    </w:p>
    <w:p w14:paraId="2B83496B"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color w:val="505050"/>
        </w:rPr>
        <w:t>Para así decidir, los magistrados sostuvieron que el proceder de los responsables de </w:t>
      </w:r>
      <w:r w:rsidRPr="00C0240A">
        <w:rPr>
          <w:rStyle w:val="nfasis"/>
          <w:rFonts w:ascii="Arial" w:hAnsi="Arial" w:cs="Arial"/>
          <w:color w:val="505050"/>
          <w:bdr w:val="none" w:sz="0" w:space="0" w:color="auto" w:frame="1"/>
        </w:rPr>
        <w:t>Espert S.A.</w:t>
      </w:r>
      <w:r w:rsidRPr="00C0240A">
        <w:rPr>
          <w:rFonts w:ascii="Arial" w:hAnsi="Arial" w:cs="Arial"/>
          <w:color w:val="505050"/>
        </w:rPr>
        <w:t> respondió a un criterio que tiempo después fue convalidado por la Cámara en lo Contencioso Administrativo Federal, en un proceso con idéntico objeto procesal, haciendo lugar a la medida cautelar a favor de "Tabacalera Sarandí".</w:t>
      </w:r>
    </w:p>
    <w:p w14:paraId="66A45174"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highlight w:val="yellow"/>
        </w:rPr>
      </w:pPr>
      <w:r w:rsidRPr="00C0240A">
        <w:rPr>
          <w:rFonts w:ascii="Arial" w:hAnsi="Arial" w:cs="Arial"/>
          <w:color w:val="505050"/>
          <w:highlight w:val="yellow"/>
        </w:rPr>
        <w:t>Asimismo, señalaron los jueces que la contribuyente tenía una medida cautelar a su favor que suspendía la aplicación del art. 15 de la ley 24.674, modificada por el art. 2 de la ley 26.467, la cual se encontraba vigente durante la tramitación de la acción penal.</w:t>
      </w:r>
    </w:p>
    <w:p w14:paraId="48D5C933"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highlight w:val="yellow"/>
        </w:rPr>
        <w:t>Por lo tanto, al encontrarse en discusión la legitimidad de la citada norma en el fuero contencioso administrativo (discusión que —posteriormente— implicó la suspensión de su aplicación mediante el dictado de una medida cautelar), los jueces argumentaron que el caso se trataba de un mero ajuste técnico. Por dicho motivo, sostuvieron que no resultaba pertinente catalogar de maliciosas las declaraciones juradas presentadas por la contribuyente.</w:t>
      </w:r>
    </w:p>
    <w:p w14:paraId="4C947F3F"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color w:val="505050"/>
        </w:rPr>
        <w:t>Por otro lado, los ajustes practicados habían sido calculados sobre la base de las declaraciones juradas presentadas por el mismo contribuyente, tomadas como sustento para la determinación de la diferencia del impuesto al tabaco a ingresar. En consecuencia, los magistrados interpretaron que el organismo recaudador contaba con la información provista por la firma </w:t>
      </w:r>
      <w:r w:rsidRPr="00C0240A">
        <w:rPr>
          <w:rStyle w:val="nfasis"/>
          <w:rFonts w:ascii="Arial" w:hAnsi="Arial" w:cs="Arial"/>
          <w:color w:val="505050"/>
          <w:bdr w:val="none" w:sz="0" w:space="0" w:color="auto" w:frame="1"/>
        </w:rPr>
        <w:t>Espert S.A.</w:t>
      </w:r>
      <w:r w:rsidRPr="00C0240A">
        <w:rPr>
          <w:rFonts w:ascii="Arial" w:hAnsi="Arial" w:cs="Arial"/>
          <w:color w:val="505050"/>
        </w:rPr>
        <w:t xml:space="preserve">, pudiendo verificar oportunamente cuál era la alícuota que le correspondía aplicar y, sin embargo, las declaraciones juradas no fueron impugnadas por contener datos falsos o engañosos. Además, continuaron, al contar el fisco con dicha información, no resultaba factible afirmar que la contribuyente había actuado </w:t>
      </w:r>
      <w:r w:rsidRPr="00C0240A">
        <w:rPr>
          <w:rFonts w:ascii="Arial" w:hAnsi="Arial" w:cs="Arial"/>
          <w:color w:val="505050"/>
        </w:rPr>
        <w:lastRenderedPageBreak/>
        <w:t>mediante ocultación o ardid con aptitud para dificultar el control ni para inducir a error al Fisco.</w:t>
      </w:r>
    </w:p>
    <w:p w14:paraId="77E265EE"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b/>
          <w:bCs/>
          <w:color w:val="505050"/>
        </w:rPr>
        <w:t>II. El fallo de la Cámara Federal de Casación Penal</w:t>
      </w:r>
    </w:p>
    <w:p w14:paraId="436D57B1"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color w:val="505050"/>
        </w:rPr>
        <w:t>Por su parte, la Cámara Federal de Casación Penal confirmó el sobreseimiento de los imputados, sosteniendo que la parte querellante —AFIP— no había logrado refutar los argumentos de la sentencia emitida por la Cámara </w:t>
      </w:r>
      <w:r w:rsidRPr="00C0240A">
        <w:rPr>
          <w:rStyle w:val="nfasis"/>
          <w:rFonts w:ascii="Arial" w:hAnsi="Arial" w:cs="Arial"/>
          <w:color w:val="505050"/>
          <w:bdr w:val="none" w:sz="0" w:space="0" w:color="auto" w:frame="1"/>
        </w:rPr>
        <w:t>a quo</w:t>
      </w:r>
      <w:r w:rsidRPr="00C0240A">
        <w:rPr>
          <w:rFonts w:ascii="Arial" w:hAnsi="Arial" w:cs="Arial"/>
          <w:color w:val="505050"/>
        </w:rPr>
        <w:t>, la cual consideró ajustada a derecho.</w:t>
      </w:r>
    </w:p>
    <w:p w14:paraId="54CA016F"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En ese sentido, sostuvo que la AFIP solamente manifestó una mera discrepancia con la sentencia de la Cámara de Apelaciones, la cual —según la Cámara de Casación— contaba con los fundamentos jurídicos necesarios y suficientes que impedían su descalificación como acto judicial válido.</w:t>
      </w:r>
    </w:p>
    <w:p w14:paraId="64A5DAE2"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b/>
          <w:bCs/>
          <w:color w:val="505050"/>
        </w:rPr>
        <w:t xml:space="preserve">III. El voto en disidencia del Dr. Mariano Hernán </w:t>
      </w:r>
      <w:proofErr w:type="spellStart"/>
      <w:r w:rsidRPr="00C0240A">
        <w:rPr>
          <w:rFonts w:ascii="Arial" w:hAnsi="Arial" w:cs="Arial"/>
          <w:b/>
          <w:bCs/>
          <w:color w:val="505050"/>
        </w:rPr>
        <w:t>Borinsky</w:t>
      </w:r>
      <w:proofErr w:type="spellEnd"/>
    </w:p>
    <w:p w14:paraId="49CB0EF4"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xml:space="preserve">El magistrado </w:t>
      </w:r>
      <w:proofErr w:type="spellStart"/>
      <w:r w:rsidRPr="00C0240A">
        <w:rPr>
          <w:rFonts w:ascii="Arial" w:hAnsi="Arial" w:cs="Arial"/>
          <w:color w:val="505050"/>
        </w:rPr>
        <w:t>Borisnky</w:t>
      </w:r>
      <w:proofErr w:type="spellEnd"/>
      <w:r w:rsidRPr="00C0240A">
        <w:rPr>
          <w:rFonts w:ascii="Arial" w:hAnsi="Arial" w:cs="Arial"/>
          <w:color w:val="505050"/>
        </w:rPr>
        <w:t xml:space="preserve"> se aparta del criterio sentado por sus colegas, realizando llamativas consideraciones que, desde su punto de vista, impedirían descartar la hipótesis </w:t>
      </w:r>
      <w:proofErr w:type="spellStart"/>
      <w:r w:rsidRPr="00C0240A">
        <w:rPr>
          <w:rFonts w:ascii="Arial" w:hAnsi="Arial" w:cs="Arial"/>
          <w:color w:val="505050"/>
        </w:rPr>
        <w:t>incriminante</w:t>
      </w:r>
      <w:proofErr w:type="spellEnd"/>
      <w:r w:rsidRPr="00C0240A">
        <w:rPr>
          <w:rFonts w:ascii="Arial" w:hAnsi="Arial" w:cs="Arial"/>
          <w:color w:val="505050"/>
        </w:rPr>
        <w:t xml:space="preserve"> planteada por el Fisco.</w:t>
      </w:r>
    </w:p>
    <w:p w14:paraId="0E099457"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color w:val="505050"/>
        </w:rPr>
        <w:t xml:space="preserve">En esa línea, </w:t>
      </w:r>
      <w:proofErr w:type="spellStart"/>
      <w:r w:rsidRPr="00C0240A">
        <w:rPr>
          <w:rFonts w:ascii="Arial" w:hAnsi="Arial" w:cs="Arial"/>
          <w:color w:val="505050"/>
        </w:rPr>
        <w:t>Borinsky</w:t>
      </w:r>
      <w:proofErr w:type="spellEnd"/>
      <w:r w:rsidRPr="00C0240A">
        <w:rPr>
          <w:rFonts w:ascii="Arial" w:hAnsi="Arial" w:cs="Arial"/>
          <w:color w:val="505050"/>
        </w:rPr>
        <w:t xml:space="preserve"> sostiene que el hecho de que los ajustes practicados hayan sido calculados sobre la base de las presentaciones del contribuyente —como lo afirmó el </w:t>
      </w:r>
      <w:r w:rsidRPr="00C0240A">
        <w:rPr>
          <w:rStyle w:val="nfasis"/>
          <w:rFonts w:ascii="Arial" w:hAnsi="Arial" w:cs="Arial"/>
          <w:color w:val="505050"/>
          <w:bdr w:val="none" w:sz="0" w:space="0" w:color="auto" w:frame="1"/>
        </w:rPr>
        <w:t>a quo</w:t>
      </w:r>
      <w:r w:rsidRPr="00C0240A">
        <w:rPr>
          <w:rFonts w:ascii="Arial" w:hAnsi="Arial" w:cs="Arial"/>
          <w:color w:val="505050"/>
        </w:rPr>
        <w:t>— no permitiría desechar </w:t>
      </w:r>
      <w:r w:rsidRPr="00C0240A">
        <w:rPr>
          <w:rStyle w:val="nfasis"/>
          <w:rFonts w:ascii="Arial" w:hAnsi="Arial" w:cs="Arial"/>
          <w:color w:val="505050"/>
          <w:bdr w:val="none" w:sz="0" w:space="0" w:color="auto" w:frame="1"/>
        </w:rPr>
        <w:t xml:space="preserve">per </w:t>
      </w:r>
      <w:proofErr w:type="spellStart"/>
      <w:r w:rsidRPr="00C0240A">
        <w:rPr>
          <w:rStyle w:val="nfasis"/>
          <w:rFonts w:ascii="Arial" w:hAnsi="Arial" w:cs="Arial"/>
          <w:color w:val="505050"/>
          <w:bdr w:val="none" w:sz="0" w:space="0" w:color="auto" w:frame="1"/>
        </w:rPr>
        <w:t>se</w:t>
      </w:r>
      <w:proofErr w:type="spellEnd"/>
      <w:r w:rsidRPr="00C0240A">
        <w:rPr>
          <w:rFonts w:ascii="Arial" w:hAnsi="Arial" w:cs="Arial"/>
          <w:color w:val="505050"/>
        </w:rPr>
        <w:t xml:space="preserve"> que hubiera mediado una maniobra ardidosa. Ello, atento a que —en su opinión— la liquidación del tributo, mediante la alícuota adecuada, integra la determinación que cada obligado debe realizar para cuantificar la suma a ingresar al Fisco. En sustento de su postura, el magistrado citó jurisprudencia que señalaba que "(l)a circunstancia de que el ente recaudador hubiera contado con cierta información que permita determinar las deudas tributarias en cuestión, en principio, no impediría descartar la existencia del ardid requerido para encuadrar la conducta del imputado en alguno de los supuestos de la ley 24.769" (conf. "Fundación el Arte de Vivir y </w:t>
      </w:r>
      <w:proofErr w:type="spellStart"/>
      <w:r w:rsidRPr="00C0240A">
        <w:rPr>
          <w:rFonts w:ascii="Arial" w:hAnsi="Arial" w:cs="Arial"/>
          <w:color w:val="505050"/>
        </w:rPr>
        <w:t>otro s</w:t>
      </w:r>
      <w:proofErr w:type="spellEnd"/>
      <w:r w:rsidRPr="00C0240A">
        <w:rPr>
          <w:rFonts w:ascii="Arial" w:hAnsi="Arial" w:cs="Arial"/>
          <w:color w:val="505050"/>
        </w:rPr>
        <w:t>/recurso de casación").</w:t>
      </w:r>
    </w:p>
    <w:p w14:paraId="208C7E16"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highlight w:val="yellow"/>
        </w:rPr>
        <w:t xml:space="preserve">Asimismo, agrega </w:t>
      </w:r>
      <w:proofErr w:type="spellStart"/>
      <w:r w:rsidRPr="00C0240A">
        <w:rPr>
          <w:rFonts w:ascii="Arial" w:hAnsi="Arial" w:cs="Arial"/>
          <w:color w:val="505050"/>
          <w:highlight w:val="yellow"/>
        </w:rPr>
        <w:t>Borinsky</w:t>
      </w:r>
      <w:proofErr w:type="spellEnd"/>
      <w:r w:rsidRPr="00C0240A">
        <w:rPr>
          <w:rFonts w:ascii="Arial" w:hAnsi="Arial" w:cs="Arial"/>
          <w:color w:val="505050"/>
          <w:highlight w:val="yellow"/>
        </w:rPr>
        <w:t xml:space="preserve"> que los tribunales previos no refutaron de manera suficiente la hipótesis de la querella referente a que la liquidación tributaria practicada por la contribuyente haya constituido un ardid idóneo, ejecutado mediante la aplicación de una alícuota diferente a la normativamente establecida.</w:t>
      </w:r>
    </w:p>
    <w:p w14:paraId="48CDD979"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Sobre la base de los argumentos citados, y en el entendimiento de que no existe en este caso un estado de certeza negativa para sobreseer a los imputados, deja asentada su disidencia.</w:t>
      </w:r>
    </w:p>
    <w:p w14:paraId="1C1CDBBD"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b/>
          <w:bCs/>
          <w:color w:val="505050"/>
        </w:rPr>
        <w:t>IV. Comentario</w:t>
      </w:r>
    </w:p>
    <w:p w14:paraId="1A26A0E7"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El artículo 1º del Régimen Penal Tributario, creado por la ley 27.430, dispone que "(s)</w:t>
      </w:r>
      <w:proofErr w:type="spellStart"/>
      <w:r w:rsidRPr="00C0240A">
        <w:rPr>
          <w:rFonts w:ascii="Arial" w:hAnsi="Arial" w:cs="Arial"/>
          <w:color w:val="505050"/>
        </w:rPr>
        <w:t>erá</w:t>
      </w:r>
      <w:proofErr w:type="spellEnd"/>
      <w:r w:rsidRPr="00C0240A">
        <w:rPr>
          <w:rFonts w:ascii="Arial" w:hAnsi="Arial" w:cs="Arial"/>
          <w:color w:val="505050"/>
        </w:rPr>
        <w:t xml:space="preserve"> reprimido con prisión de dos (2) a seis (6) años el obligado que mediante declaraciones engañosas, ocultaciones maliciosas, o cualquier otro ardid o engaño, sea por acción o por omisión, evadiere total o parcialmente el pago de tributos al fisco nacional, al fisco provincial o a la Ciudad Autónoma de Buenos Aires, siempre que el monto evadido excediere la suma de un millón quinientos mil de pesos ($ 1.500.000) por cada tributo y por cada ejercicio anual, aun cuando se, tratare de un tributo instantáneo o de período fiscal inferior a un [1] año. Para los supuestos de tributos locales, la condición objetiva de </w:t>
      </w:r>
      <w:r w:rsidRPr="00C0240A">
        <w:rPr>
          <w:rFonts w:ascii="Arial" w:hAnsi="Arial" w:cs="Arial"/>
          <w:color w:val="505050"/>
        </w:rPr>
        <w:lastRenderedPageBreak/>
        <w:t>punibilidad establecida en el párrafo anterior se considerará para cada jurisdicción en que se hubiere cometido la evasión".</w:t>
      </w:r>
    </w:p>
    <w:p w14:paraId="56F77D15"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Los conceptos de "ardid" o "engaño" no están definidos en el Régimen Penal Tributario ni en el Código Penal, razón por la cual los tribunales se han esforzado en interpretar el sentido de estos términos, con opiniones dispares respecto del alcance de aquellos.</w:t>
      </w:r>
    </w:p>
    <w:p w14:paraId="6F866D30"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En el confronte de los votos de la mayoría y la disidencia en el fallo bajo análisis quedan expuestas dos posiciones antagónicas.</w:t>
      </w:r>
    </w:p>
    <w:p w14:paraId="1317AD1F"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De la lectura de la norma citada se extrae que el delito de evasión constituye un delito doloso, toda vez que requiere —para su configuración— la presencia de ardid o engaño en la conducta del contribuyente.</w:t>
      </w:r>
    </w:p>
    <w:p w14:paraId="0E593A48"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color w:val="505050"/>
        </w:rPr>
        <w:t>Por lo tanto, el autor debe tener por finalidad específica la evasión del pago de tributos con el despliegue de dichos medios engañosos y ardidosos, no bastando el dolo indirecto ni el eventual y menos aún la culpa </w:t>
      </w:r>
      <w:bookmarkStart w:id="3" w:name="FN2v"/>
      <w:bookmarkEnd w:id="3"/>
      <w:r w:rsidRPr="00C0240A">
        <w:rPr>
          <w:rFonts w:ascii="Arial" w:hAnsi="Arial" w:cs="Arial"/>
          <w:color w:val="505050"/>
        </w:rPr>
        <w:fldChar w:fldCharType="begin"/>
      </w:r>
      <w:r w:rsidRPr="00C0240A">
        <w:rPr>
          <w:rFonts w:ascii="Arial" w:hAnsi="Arial" w:cs="Arial"/>
          <w:color w:val="505050"/>
        </w:rPr>
        <w:instrText xml:space="preserve"> HYPERLINK "https://www.checkpoint.laleyonline.com.ar/maf/app/document?parentguid=i0AD7624807913C908107A83EFD21E967&amp;tocguid=i0AD7624807913C908107A83E0528EAED&amp;searchFrom=advance&amp;docguid=iEC228BC474B50ADD51CCE594DCE16CA4" \l "FN2" </w:instrText>
      </w:r>
      <w:r w:rsidRPr="00C0240A">
        <w:rPr>
          <w:rFonts w:ascii="Arial" w:hAnsi="Arial" w:cs="Arial"/>
          <w:color w:val="505050"/>
        </w:rPr>
        <w:fldChar w:fldCharType="separate"/>
      </w:r>
      <w:r w:rsidRPr="00C0240A">
        <w:rPr>
          <w:rStyle w:val="Hipervnculo"/>
          <w:rFonts w:ascii="Arial" w:hAnsi="Arial" w:cs="Arial"/>
          <w:color w:val="0083BF"/>
          <w:bdr w:val="none" w:sz="0" w:space="0" w:color="auto" w:frame="1"/>
        </w:rPr>
        <w:t>(2)</w:t>
      </w:r>
      <w:r w:rsidRPr="00C0240A">
        <w:rPr>
          <w:rFonts w:ascii="Arial" w:hAnsi="Arial" w:cs="Arial"/>
          <w:color w:val="505050"/>
        </w:rPr>
        <w:fldChar w:fldCharType="end"/>
      </w:r>
      <w:r w:rsidRPr="00C0240A">
        <w:rPr>
          <w:rFonts w:ascii="Arial" w:hAnsi="Arial" w:cs="Arial"/>
          <w:color w:val="505050"/>
        </w:rPr>
        <w:t>.</w:t>
      </w:r>
    </w:p>
    <w:p w14:paraId="101DA298"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Tratándose de una figura delictual —y sobre la base de la presunción constitucional de inocencia que rige sobre los imputados—, la demostración del dolo debe incumbir al acusador. En consecuencia, el dolo del autor debe estar debidamente probado y acreditado por el Ministerio Público Fiscal y, en su caso, por el organismo fiscal en su carácter de querellante.</w:t>
      </w:r>
    </w:p>
    <w:p w14:paraId="5BF34ACD"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highlight w:val="yellow"/>
        </w:rPr>
        <w:t>Como bien señalan los magistrados intervinientes en las instancias judiciales anteriores, no se demostró el obrar doloso del actor, por lo que no se configuró el delito. Esto derivó —razonablemente— en el dictado del sobreseimiento de los acusados. Dicha sentencia se ajusta a derecho, en la medida en que tiene en consideración la definición legal del delito de evasión (citada más arriba) y las garantías constitucionales que rigen sobre el contribuyente imputado.</w:t>
      </w:r>
    </w:p>
    <w:p w14:paraId="1F899369"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xml:space="preserve">Con respecto al voto en disidencia del Dr. </w:t>
      </w:r>
      <w:proofErr w:type="spellStart"/>
      <w:r w:rsidRPr="00C0240A">
        <w:rPr>
          <w:rFonts w:ascii="Arial" w:hAnsi="Arial" w:cs="Arial"/>
          <w:color w:val="505050"/>
        </w:rPr>
        <w:t>Borisnky</w:t>
      </w:r>
      <w:proofErr w:type="spellEnd"/>
      <w:r w:rsidRPr="00C0240A">
        <w:rPr>
          <w:rFonts w:ascii="Arial" w:hAnsi="Arial" w:cs="Arial"/>
          <w:color w:val="505050"/>
        </w:rPr>
        <w:t>, resulta llamativo que el magistrado presume la existencia de ardid o engaño en la conducta del contribuyente y sostiene que debería haberse acreditado —ante los tribunales inferiores— que dicho ardid o engaño no existió. Es decir, desconoce abiertamente la garantía constitucional de presunción de inocencia.</w:t>
      </w:r>
    </w:p>
    <w:p w14:paraId="7BE8DD10"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highlight w:val="yellow"/>
        </w:rPr>
        <w:t xml:space="preserve">Por otro lado, se vislumbra que el magistrado </w:t>
      </w:r>
      <w:proofErr w:type="spellStart"/>
      <w:r w:rsidRPr="00C0240A">
        <w:rPr>
          <w:rFonts w:ascii="Arial" w:hAnsi="Arial" w:cs="Arial"/>
          <w:color w:val="505050"/>
          <w:highlight w:val="yellow"/>
        </w:rPr>
        <w:t>Borinsky</w:t>
      </w:r>
      <w:proofErr w:type="spellEnd"/>
      <w:r w:rsidRPr="00C0240A">
        <w:rPr>
          <w:rFonts w:ascii="Arial" w:hAnsi="Arial" w:cs="Arial"/>
          <w:color w:val="505050"/>
          <w:highlight w:val="yellow"/>
        </w:rPr>
        <w:t xml:space="preserve"> efectúa una interpretación extremadamente amplia —y, en nuestra opinión, alarmante— del concepto de ardid o engaño, sosteniendo que la mera presentación de declaraciones juradas inexactas podría implicar una maniobra ardidosa por parte del contribuyente, incluso en el caso de que se haya puesto a disposición del Fisco toda la documentación relevante</w:t>
      </w:r>
      <w:r w:rsidRPr="00C0240A">
        <w:rPr>
          <w:rFonts w:ascii="Arial" w:hAnsi="Arial" w:cs="Arial"/>
          <w:color w:val="505050"/>
        </w:rPr>
        <w:t>.</w:t>
      </w:r>
    </w:p>
    <w:p w14:paraId="2F759850"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xml:space="preserve">En este sentido, coincidimos con la Cámara Federal de Apelaciones de La Plata, que al analizar este caso sostuvo que "...el ilícito tributario, tanto en su forma comisiva como en su modalidad omisiva, debe contener un ardid o engaño idóneo, real, significativo y oportuno dirigido a ocasionar el error inevitable en el fisco, por lo que a fin de verificar su concurrencia corresponde, en cada caso, evaluarlo de acuerdo a esas posibilidades del Fisco, considerando la existencia del sistema </w:t>
      </w:r>
      <w:proofErr w:type="spellStart"/>
      <w:r w:rsidRPr="00C0240A">
        <w:rPr>
          <w:rFonts w:ascii="Arial" w:hAnsi="Arial" w:cs="Arial"/>
          <w:color w:val="505050"/>
        </w:rPr>
        <w:t>autodeclarativo</w:t>
      </w:r>
      <w:proofErr w:type="spellEnd"/>
      <w:r w:rsidRPr="00C0240A">
        <w:rPr>
          <w:rFonts w:ascii="Arial" w:hAnsi="Arial" w:cs="Arial"/>
          <w:color w:val="505050"/>
        </w:rPr>
        <w:t xml:space="preserve"> de tributos en nuestro régimen impositivo".</w:t>
      </w:r>
    </w:p>
    <w:p w14:paraId="4D61054F"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xml:space="preserve">Con lo cual, la conclusión de los jueces de la Cámara de Apelaciones es que los términos "ardid" y "engaño" son sinónimos; y para que el engaño sea idóneo, </w:t>
      </w:r>
      <w:r w:rsidRPr="00C0240A">
        <w:rPr>
          <w:rFonts w:ascii="Arial" w:hAnsi="Arial" w:cs="Arial"/>
          <w:color w:val="505050"/>
        </w:rPr>
        <w:lastRenderedPageBreak/>
        <w:t>interpretan que debe estar dirigido a ocasionar un error en el Fisco que obstaculice la tarea de fiscalización.</w:t>
      </w:r>
    </w:p>
    <w:p w14:paraId="1E159625"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Los magistrados llegan a esta conclusión siguiendo el siguiente razonamiento lógico basado en doctrina especializada:</w:t>
      </w:r>
    </w:p>
    <w:p w14:paraId="3D2DD93E"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La estafa tributaria requiere un ardid; no basta con la mera omisión de informar o el informar erróneamente;</w:t>
      </w:r>
    </w:p>
    <w:p w14:paraId="22F3E429"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Las previsiones de "declaraciones engañosas" y "ocultaciones maliciosas" que incluye el tipo son ejemplos legales de ardides;</w:t>
      </w:r>
    </w:p>
    <w:p w14:paraId="0184BB0F"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Por lo tanto, deben ser leídas también en el sentido de requerir de la conducta, como en todo ardid, la objetivación que tienda a dar viso de realidad a la información falsa transmitida.</w:t>
      </w:r>
    </w:p>
    <w:p w14:paraId="5C08F0D6"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La declaración engañosa, en el sentido jurídico del tipo, no será la mera afirmación falsa de un hecho, sino el apoyo en su apariencia de realidad que, mediante una maniobra, se le dé a esa información errónea.</w:t>
      </w:r>
    </w:p>
    <w:p w14:paraId="5E0C1909"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Por lo tanto, con el objetivo de otorgarle significado y alcance a los términos "ardid" y "engaño", de modo tal que respete el sentido o fin perseguido por la norma (lo que algunos llaman "bien jurídico tutelado", pero que para otro doctrinarios es un concepto mucho más amplio, ya que hay que considerar el interés de ese subsistema jurídico teniendo en mira el interés del sistema en general), resultan razonables las premisas a las que arribaron los magistrados de la Cámara de Apelación, al concluir que el "ardid" o "engaño" requerido por el Régimen Penal Tributario es aquel que impida u obstaculice las facultades de fiscalización y control que les otorgan la ley 11.683 o los códigos fiscales provinciales a los organismos tributarios.</w:t>
      </w:r>
    </w:p>
    <w:p w14:paraId="112944AA"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 xml:space="preserve">Ello es así, toda vez </w:t>
      </w:r>
      <w:proofErr w:type="gramStart"/>
      <w:r w:rsidRPr="00C0240A">
        <w:rPr>
          <w:rFonts w:ascii="Arial" w:hAnsi="Arial" w:cs="Arial"/>
          <w:color w:val="505050"/>
        </w:rPr>
        <w:t>que</w:t>
      </w:r>
      <w:proofErr w:type="gramEnd"/>
      <w:r w:rsidRPr="00C0240A">
        <w:rPr>
          <w:rFonts w:ascii="Arial" w:hAnsi="Arial" w:cs="Arial"/>
          <w:color w:val="505050"/>
        </w:rPr>
        <w:t xml:space="preserve"> si la falsedad en la declaración del contribuyente puede ser advertida por el organismo fiscal mediante los recursos y facultades naturales que le concede el marco normativo, no hubo por parte del contribuyente un "ardid" o "engaño" idóneo para lesionar el interés perseguido por la norma, que no es el meramente recaudatorio.</w:t>
      </w:r>
    </w:p>
    <w:p w14:paraId="773BF1CA"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En efecto, la acción típica implica una maquinación, un artificio o una aserción dirigida a alterar la realidad demostrativa de un despliegue del ardid o engaño dentro de una conducta clandestina tendiente a evitar el conocimiento del Fisco sobre la existencia y magnitud de los hechos imponibles generadores del tributo.</w:t>
      </w:r>
    </w:p>
    <w:p w14:paraId="51B7CFE3"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La simple omisión de impuesto, que puede ser comprobada por la administración fiscal, debe ser perseguida por las normas de naturaleza administrativa.</w:t>
      </w:r>
    </w:p>
    <w:p w14:paraId="13AF1AE6" w14:textId="77777777" w:rsidR="00DD4F73" w:rsidRPr="00C0240A" w:rsidRDefault="00DD4F73" w:rsidP="00C0240A">
      <w:pPr>
        <w:pStyle w:val="content"/>
        <w:shd w:val="clear" w:color="auto" w:fill="FFFFFF"/>
        <w:spacing w:before="120" w:beforeAutospacing="0" w:after="120" w:afterAutospacing="0" w:line="210" w:lineRule="atLeast"/>
        <w:jc w:val="both"/>
        <w:textAlignment w:val="baseline"/>
        <w:rPr>
          <w:rFonts w:ascii="Arial" w:hAnsi="Arial" w:cs="Arial"/>
          <w:color w:val="505050"/>
        </w:rPr>
      </w:pPr>
      <w:r w:rsidRPr="00C0240A">
        <w:rPr>
          <w:rFonts w:ascii="Arial" w:hAnsi="Arial" w:cs="Arial"/>
          <w:color w:val="505050"/>
        </w:rPr>
        <w:t>Si bien estamos en presencia de un mero voto en disidencia, creemos que no debemos pasarlo por alto, toda vez que la generalización de este razonamiento podría derivar en una peligrosa desnaturalización de los delitos tributarios previstos por el Régimen Penal Tributario vigente, en tanto requieren la inexorable acreditación de la existencia de dolo en el comportamiento del contribuyente.</w:t>
      </w:r>
    </w:p>
    <w:bookmarkStart w:id="4" w:name="FN*"/>
    <w:bookmarkEnd w:id="4"/>
    <w:p w14:paraId="3FA79E74"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rPr>
        <w:fldChar w:fldCharType="begin"/>
      </w:r>
      <w:r w:rsidRPr="00C0240A">
        <w:rPr>
          <w:rFonts w:ascii="Arial" w:hAnsi="Arial" w:cs="Arial"/>
        </w:rPr>
        <w:instrText xml:space="preserve"> HYPERLINK "https://www.checkpoint.laleyonline.com.ar/maf/app/document?parentguid=i0AD7624807913C908107A83EFD21E967&amp;tocguid=i0AD7624807913C908107A83E0528EAED&amp;searchFrom=advance&amp;docguid=iEC228BC474B50ADD51CCE594DCE16CA4" \l "FN*v" </w:instrText>
      </w:r>
      <w:r w:rsidRPr="00C0240A">
        <w:rPr>
          <w:rFonts w:ascii="Arial" w:hAnsi="Arial" w:cs="Arial"/>
        </w:rPr>
        <w:fldChar w:fldCharType="separate"/>
      </w:r>
      <w:r w:rsidRPr="00C0240A">
        <w:rPr>
          <w:rStyle w:val="Hipervnculo"/>
          <w:rFonts w:ascii="Arial" w:hAnsi="Arial" w:cs="Arial"/>
          <w:color w:val="0083BF"/>
          <w:bdr w:val="none" w:sz="0" w:space="0" w:color="auto" w:frame="1"/>
        </w:rPr>
        <w:t>(A)</w:t>
      </w:r>
      <w:r w:rsidRPr="00C0240A">
        <w:rPr>
          <w:rFonts w:ascii="Arial" w:hAnsi="Arial" w:cs="Arial"/>
        </w:rPr>
        <w:fldChar w:fldCharType="end"/>
      </w:r>
      <w:r w:rsidRPr="00C0240A">
        <w:rPr>
          <w:rFonts w:ascii="Arial" w:hAnsi="Arial" w:cs="Arial"/>
          <w:color w:val="505050"/>
        </w:rPr>
        <w:t xml:space="preserve"> Abogada (UBA), especializada en Derecho Tributario y Penal Tributario. Asociada del estudio </w:t>
      </w:r>
      <w:proofErr w:type="spellStart"/>
      <w:r w:rsidRPr="00C0240A">
        <w:rPr>
          <w:rFonts w:ascii="Arial" w:hAnsi="Arial" w:cs="Arial"/>
          <w:color w:val="505050"/>
        </w:rPr>
        <w:t>Tavarone</w:t>
      </w:r>
      <w:proofErr w:type="spellEnd"/>
      <w:r w:rsidRPr="00C0240A">
        <w:rPr>
          <w:rFonts w:ascii="Arial" w:hAnsi="Arial" w:cs="Arial"/>
          <w:color w:val="505050"/>
        </w:rPr>
        <w:t xml:space="preserve">, </w:t>
      </w:r>
      <w:proofErr w:type="spellStart"/>
      <w:r w:rsidRPr="00C0240A">
        <w:rPr>
          <w:rFonts w:ascii="Arial" w:hAnsi="Arial" w:cs="Arial"/>
          <w:color w:val="505050"/>
        </w:rPr>
        <w:t>Rovelli</w:t>
      </w:r>
      <w:proofErr w:type="spellEnd"/>
      <w:r w:rsidRPr="00C0240A">
        <w:rPr>
          <w:rFonts w:ascii="Arial" w:hAnsi="Arial" w:cs="Arial"/>
          <w:color w:val="505050"/>
        </w:rPr>
        <w:t xml:space="preserve">, Salim &amp; </w:t>
      </w:r>
      <w:proofErr w:type="spellStart"/>
      <w:r w:rsidRPr="00C0240A">
        <w:rPr>
          <w:rFonts w:ascii="Arial" w:hAnsi="Arial" w:cs="Arial"/>
          <w:color w:val="505050"/>
        </w:rPr>
        <w:t>Miani</w:t>
      </w:r>
      <w:proofErr w:type="spellEnd"/>
      <w:r w:rsidRPr="00C0240A">
        <w:rPr>
          <w:rFonts w:ascii="Arial" w:hAnsi="Arial" w:cs="Arial"/>
          <w:color w:val="505050"/>
        </w:rPr>
        <w:t>.</w:t>
      </w:r>
    </w:p>
    <w:bookmarkStart w:id="5" w:name="FN**"/>
    <w:bookmarkEnd w:id="5"/>
    <w:p w14:paraId="1C76AB20"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rPr>
        <w:fldChar w:fldCharType="begin"/>
      </w:r>
      <w:r w:rsidRPr="00C0240A">
        <w:rPr>
          <w:rFonts w:ascii="Arial" w:hAnsi="Arial" w:cs="Arial"/>
        </w:rPr>
        <w:instrText xml:space="preserve"> HYPERLINK "https://www.checkpoint.laleyonline.com.ar/maf/app/document?parentguid=i0AD7624807913C908107A83EFD21E967&amp;tocguid=i0AD7624807913C908107A83E0528EAED&amp;searchFrom=advance&amp;docguid=iEC228BC474B50ADD51CCE594DCE16CA4" \l "FN**v" </w:instrText>
      </w:r>
      <w:r w:rsidRPr="00C0240A">
        <w:rPr>
          <w:rFonts w:ascii="Arial" w:hAnsi="Arial" w:cs="Arial"/>
        </w:rPr>
        <w:fldChar w:fldCharType="separate"/>
      </w:r>
      <w:r w:rsidRPr="00C0240A">
        <w:rPr>
          <w:rStyle w:val="Hipervnculo"/>
          <w:rFonts w:ascii="Arial" w:hAnsi="Arial" w:cs="Arial"/>
          <w:color w:val="0083BF"/>
          <w:bdr w:val="none" w:sz="0" w:space="0" w:color="auto" w:frame="1"/>
        </w:rPr>
        <w:t>(AA)</w:t>
      </w:r>
      <w:r w:rsidRPr="00C0240A">
        <w:rPr>
          <w:rFonts w:ascii="Arial" w:hAnsi="Arial" w:cs="Arial"/>
        </w:rPr>
        <w:fldChar w:fldCharType="end"/>
      </w:r>
      <w:r w:rsidRPr="00C0240A">
        <w:rPr>
          <w:rFonts w:ascii="Arial" w:hAnsi="Arial" w:cs="Arial"/>
          <w:color w:val="505050"/>
        </w:rPr>
        <w:t xml:space="preserve"> Abogado (UBA), especializado en Derecho Penal, Tributario y Aduanero. Socio del estudio </w:t>
      </w:r>
      <w:proofErr w:type="spellStart"/>
      <w:r w:rsidRPr="00C0240A">
        <w:rPr>
          <w:rFonts w:ascii="Arial" w:hAnsi="Arial" w:cs="Arial"/>
          <w:color w:val="505050"/>
        </w:rPr>
        <w:t>Tavorone</w:t>
      </w:r>
      <w:proofErr w:type="spellEnd"/>
      <w:r w:rsidRPr="00C0240A">
        <w:rPr>
          <w:rFonts w:ascii="Arial" w:hAnsi="Arial" w:cs="Arial"/>
          <w:color w:val="505050"/>
        </w:rPr>
        <w:t xml:space="preserve">, </w:t>
      </w:r>
      <w:proofErr w:type="spellStart"/>
      <w:r w:rsidRPr="00C0240A">
        <w:rPr>
          <w:rFonts w:ascii="Arial" w:hAnsi="Arial" w:cs="Arial"/>
          <w:color w:val="505050"/>
        </w:rPr>
        <w:t>Rovelli</w:t>
      </w:r>
      <w:proofErr w:type="spellEnd"/>
      <w:r w:rsidRPr="00C0240A">
        <w:rPr>
          <w:rFonts w:ascii="Arial" w:hAnsi="Arial" w:cs="Arial"/>
          <w:color w:val="505050"/>
        </w:rPr>
        <w:t xml:space="preserve">, Salim &amp; </w:t>
      </w:r>
      <w:proofErr w:type="spellStart"/>
      <w:r w:rsidRPr="00C0240A">
        <w:rPr>
          <w:rFonts w:ascii="Arial" w:hAnsi="Arial" w:cs="Arial"/>
          <w:color w:val="505050"/>
        </w:rPr>
        <w:t>Miani</w:t>
      </w:r>
      <w:proofErr w:type="spellEnd"/>
      <w:r w:rsidRPr="00C0240A">
        <w:rPr>
          <w:rFonts w:ascii="Arial" w:hAnsi="Arial" w:cs="Arial"/>
          <w:color w:val="505050"/>
        </w:rPr>
        <w:t>.</w:t>
      </w:r>
    </w:p>
    <w:bookmarkStart w:id="6" w:name="FN1"/>
    <w:bookmarkEnd w:id="6"/>
    <w:p w14:paraId="0F8F9C15"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rPr>
        <w:lastRenderedPageBreak/>
        <w:fldChar w:fldCharType="begin"/>
      </w:r>
      <w:r w:rsidRPr="00C0240A">
        <w:rPr>
          <w:rFonts w:ascii="Arial" w:hAnsi="Arial" w:cs="Arial"/>
        </w:rPr>
        <w:instrText xml:space="preserve"> HYPERLINK "https://www.checkpoint.laleyonline.com.ar/maf/app/document?parentguid=i0AD7624807913C908107A83EFD21E967&amp;tocguid=i0AD7624807913C908107A83E0528EAED&amp;searchFrom=advance&amp;docguid=iEC228BC474B50ADD51CCE594DCE16CA4" \l "FN1v" </w:instrText>
      </w:r>
      <w:r w:rsidRPr="00C0240A">
        <w:rPr>
          <w:rFonts w:ascii="Arial" w:hAnsi="Arial" w:cs="Arial"/>
        </w:rPr>
        <w:fldChar w:fldCharType="separate"/>
      </w:r>
      <w:r w:rsidRPr="00C0240A">
        <w:rPr>
          <w:rStyle w:val="Hipervnculo"/>
          <w:rFonts w:ascii="Arial" w:hAnsi="Arial" w:cs="Arial"/>
          <w:color w:val="0083BF"/>
          <w:bdr w:val="none" w:sz="0" w:space="0" w:color="auto" w:frame="1"/>
        </w:rPr>
        <w:t>(1)</w:t>
      </w:r>
      <w:r w:rsidRPr="00C0240A">
        <w:rPr>
          <w:rFonts w:ascii="Arial" w:hAnsi="Arial" w:cs="Arial"/>
        </w:rPr>
        <w:fldChar w:fldCharType="end"/>
      </w:r>
      <w:r w:rsidRPr="00C0240A">
        <w:rPr>
          <w:rFonts w:ascii="Arial" w:hAnsi="Arial" w:cs="Arial"/>
          <w:color w:val="505050"/>
        </w:rPr>
        <w:t> </w:t>
      </w:r>
      <w:proofErr w:type="spellStart"/>
      <w:r w:rsidRPr="00C0240A">
        <w:rPr>
          <w:rFonts w:ascii="Arial" w:hAnsi="Arial" w:cs="Arial"/>
          <w:color w:val="505050"/>
        </w:rPr>
        <w:t>CNCas</w:t>
      </w:r>
      <w:proofErr w:type="spellEnd"/>
      <w:r w:rsidRPr="00C0240A">
        <w:rPr>
          <w:rFonts w:ascii="Arial" w:hAnsi="Arial" w:cs="Arial"/>
          <w:color w:val="505050"/>
        </w:rPr>
        <w:t>. Penal, sala III, "Fernández Vila, Ezequiel y otros s/recurso de casación", 14/09/2022, TR LALEY AR/JUR/125244/2022.</w:t>
      </w:r>
    </w:p>
    <w:bookmarkStart w:id="7" w:name="FN2"/>
    <w:bookmarkEnd w:id="7"/>
    <w:p w14:paraId="1363809D" w14:textId="77777777" w:rsidR="00DD4F73" w:rsidRPr="00C0240A" w:rsidRDefault="00DD4F73" w:rsidP="00C0240A">
      <w:pPr>
        <w:pStyle w:val="content"/>
        <w:shd w:val="clear" w:color="auto" w:fill="FFFFFF"/>
        <w:spacing w:before="0" w:beforeAutospacing="0" w:after="0" w:afterAutospacing="0" w:line="210" w:lineRule="atLeast"/>
        <w:jc w:val="both"/>
        <w:textAlignment w:val="baseline"/>
        <w:rPr>
          <w:rFonts w:ascii="Arial" w:hAnsi="Arial" w:cs="Arial"/>
          <w:color w:val="505050"/>
        </w:rPr>
      </w:pPr>
      <w:r w:rsidRPr="00C0240A">
        <w:rPr>
          <w:rFonts w:ascii="Arial" w:hAnsi="Arial" w:cs="Arial"/>
        </w:rPr>
        <w:fldChar w:fldCharType="begin"/>
      </w:r>
      <w:r w:rsidRPr="00C0240A">
        <w:rPr>
          <w:rFonts w:ascii="Arial" w:hAnsi="Arial" w:cs="Arial"/>
        </w:rPr>
        <w:instrText xml:space="preserve"> HYPERLINK "https://www.checkpoint.laleyonline.com.ar/maf/app/document?parentguid=i0AD7624807913C908107A83EFD21E967&amp;tocguid=i0AD7624807913C908107A83E0528EAED&amp;searchFrom=advance&amp;docguid=iEC228BC474B50ADD51CCE594DCE16CA4" \l "FN2v" </w:instrText>
      </w:r>
      <w:r w:rsidRPr="00C0240A">
        <w:rPr>
          <w:rFonts w:ascii="Arial" w:hAnsi="Arial" w:cs="Arial"/>
        </w:rPr>
        <w:fldChar w:fldCharType="separate"/>
      </w:r>
      <w:r w:rsidRPr="00C0240A">
        <w:rPr>
          <w:rStyle w:val="Hipervnculo"/>
          <w:rFonts w:ascii="Arial" w:hAnsi="Arial" w:cs="Arial"/>
          <w:color w:val="0083BF"/>
          <w:bdr w:val="none" w:sz="0" w:space="0" w:color="auto" w:frame="1"/>
        </w:rPr>
        <w:t>(2)</w:t>
      </w:r>
      <w:r w:rsidRPr="00C0240A">
        <w:rPr>
          <w:rFonts w:ascii="Arial" w:hAnsi="Arial" w:cs="Arial"/>
        </w:rPr>
        <w:fldChar w:fldCharType="end"/>
      </w:r>
      <w:r w:rsidRPr="00C0240A">
        <w:rPr>
          <w:rFonts w:ascii="Arial" w:hAnsi="Arial" w:cs="Arial"/>
          <w:color w:val="505050"/>
        </w:rPr>
        <w:t xml:space="preserve"> YEBRA, Pablo, "Los agravantes el delito de evasión fiscal", Doctrina Penal Tributaria y Económica, </w:t>
      </w:r>
      <w:proofErr w:type="spellStart"/>
      <w:r w:rsidRPr="00C0240A">
        <w:rPr>
          <w:rFonts w:ascii="Arial" w:hAnsi="Arial" w:cs="Arial"/>
          <w:color w:val="505050"/>
        </w:rPr>
        <w:t>Errepar</w:t>
      </w:r>
      <w:proofErr w:type="spellEnd"/>
      <w:r w:rsidRPr="00C0240A">
        <w:rPr>
          <w:rFonts w:ascii="Arial" w:hAnsi="Arial" w:cs="Arial"/>
          <w:color w:val="505050"/>
        </w:rPr>
        <w:t>, sept. 2020.</w:t>
      </w:r>
    </w:p>
    <w:p w14:paraId="6B49B63D" w14:textId="77777777" w:rsidR="00DD4F73" w:rsidRPr="00C0240A" w:rsidRDefault="00DD4F73" w:rsidP="00C0240A">
      <w:pPr>
        <w:jc w:val="both"/>
        <w:rPr>
          <w:rFonts w:ascii="Arial" w:hAnsi="Arial" w:cs="Arial"/>
          <w:sz w:val="24"/>
          <w:szCs w:val="24"/>
        </w:rPr>
      </w:pPr>
    </w:p>
    <w:p w14:paraId="05E12CA3" w14:textId="77777777" w:rsidR="00546074" w:rsidRDefault="00546074"/>
    <w:sectPr w:rsidR="005460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F73"/>
    <w:rsid w:val="000020BA"/>
    <w:rsid w:val="0000741A"/>
    <w:rsid w:val="00020074"/>
    <w:rsid w:val="00020EAD"/>
    <w:rsid w:val="000251A5"/>
    <w:rsid w:val="00030D33"/>
    <w:rsid w:val="00034D02"/>
    <w:rsid w:val="0004124B"/>
    <w:rsid w:val="00062542"/>
    <w:rsid w:val="00064333"/>
    <w:rsid w:val="00087965"/>
    <w:rsid w:val="00092B0E"/>
    <w:rsid w:val="000A4228"/>
    <w:rsid w:val="000D0A50"/>
    <w:rsid w:val="000D4EA5"/>
    <w:rsid w:val="000E001A"/>
    <w:rsid w:val="000F5136"/>
    <w:rsid w:val="000F6B31"/>
    <w:rsid w:val="00106A5F"/>
    <w:rsid w:val="00113B67"/>
    <w:rsid w:val="001249BD"/>
    <w:rsid w:val="00133863"/>
    <w:rsid w:val="00136DD8"/>
    <w:rsid w:val="00157A48"/>
    <w:rsid w:val="00162C13"/>
    <w:rsid w:val="0016417C"/>
    <w:rsid w:val="00164E1C"/>
    <w:rsid w:val="00177D36"/>
    <w:rsid w:val="001802C4"/>
    <w:rsid w:val="0018218A"/>
    <w:rsid w:val="0019183E"/>
    <w:rsid w:val="001960C9"/>
    <w:rsid w:val="00197570"/>
    <w:rsid w:val="001A50E7"/>
    <w:rsid w:val="001B3830"/>
    <w:rsid w:val="001B5C6D"/>
    <w:rsid w:val="001C266E"/>
    <w:rsid w:val="001C30FA"/>
    <w:rsid w:val="001C5177"/>
    <w:rsid w:val="001C5D2F"/>
    <w:rsid w:val="001E25DD"/>
    <w:rsid w:val="001F1BD4"/>
    <w:rsid w:val="001F6F41"/>
    <w:rsid w:val="001F76EF"/>
    <w:rsid w:val="00225F45"/>
    <w:rsid w:val="0022691A"/>
    <w:rsid w:val="00226B15"/>
    <w:rsid w:val="002317A7"/>
    <w:rsid w:val="00232A82"/>
    <w:rsid w:val="002334FA"/>
    <w:rsid w:val="002471E2"/>
    <w:rsid w:val="00253D17"/>
    <w:rsid w:val="0028253B"/>
    <w:rsid w:val="002835AA"/>
    <w:rsid w:val="00287244"/>
    <w:rsid w:val="002906A9"/>
    <w:rsid w:val="002A6C16"/>
    <w:rsid w:val="002A77C3"/>
    <w:rsid w:val="002A7C3D"/>
    <w:rsid w:val="002B2335"/>
    <w:rsid w:val="002D6897"/>
    <w:rsid w:val="002E3BC5"/>
    <w:rsid w:val="002F13A5"/>
    <w:rsid w:val="002F2D9D"/>
    <w:rsid w:val="003024FC"/>
    <w:rsid w:val="003165C7"/>
    <w:rsid w:val="0031691E"/>
    <w:rsid w:val="00316D12"/>
    <w:rsid w:val="00321514"/>
    <w:rsid w:val="0032206A"/>
    <w:rsid w:val="003323E1"/>
    <w:rsid w:val="00333464"/>
    <w:rsid w:val="00334579"/>
    <w:rsid w:val="0033475D"/>
    <w:rsid w:val="003439B4"/>
    <w:rsid w:val="003517BF"/>
    <w:rsid w:val="00353531"/>
    <w:rsid w:val="0035528B"/>
    <w:rsid w:val="003558FF"/>
    <w:rsid w:val="00363A5C"/>
    <w:rsid w:val="00370800"/>
    <w:rsid w:val="00373648"/>
    <w:rsid w:val="00373D17"/>
    <w:rsid w:val="00375239"/>
    <w:rsid w:val="00383D4C"/>
    <w:rsid w:val="0038724B"/>
    <w:rsid w:val="00390F23"/>
    <w:rsid w:val="00393CF2"/>
    <w:rsid w:val="00395962"/>
    <w:rsid w:val="003B305E"/>
    <w:rsid w:val="003D1DC3"/>
    <w:rsid w:val="003F074D"/>
    <w:rsid w:val="004031B7"/>
    <w:rsid w:val="004108BD"/>
    <w:rsid w:val="0042227F"/>
    <w:rsid w:val="0042777F"/>
    <w:rsid w:val="00431FA2"/>
    <w:rsid w:val="0044082E"/>
    <w:rsid w:val="00453F89"/>
    <w:rsid w:val="00463A53"/>
    <w:rsid w:val="0047060E"/>
    <w:rsid w:val="004749CF"/>
    <w:rsid w:val="004778D6"/>
    <w:rsid w:val="00486CA1"/>
    <w:rsid w:val="00487457"/>
    <w:rsid w:val="00493B66"/>
    <w:rsid w:val="00497131"/>
    <w:rsid w:val="004A30DF"/>
    <w:rsid w:val="004A76B7"/>
    <w:rsid w:val="004B3E1D"/>
    <w:rsid w:val="004C154E"/>
    <w:rsid w:val="004D0D6B"/>
    <w:rsid w:val="004D2628"/>
    <w:rsid w:val="004D54D0"/>
    <w:rsid w:val="004E4EB4"/>
    <w:rsid w:val="004E7256"/>
    <w:rsid w:val="004F2451"/>
    <w:rsid w:val="004F6552"/>
    <w:rsid w:val="0050234C"/>
    <w:rsid w:val="00526A56"/>
    <w:rsid w:val="00532A93"/>
    <w:rsid w:val="00533CCA"/>
    <w:rsid w:val="00536DE9"/>
    <w:rsid w:val="00537969"/>
    <w:rsid w:val="00537C3A"/>
    <w:rsid w:val="00546074"/>
    <w:rsid w:val="005541F9"/>
    <w:rsid w:val="0055616F"/>
    <w:rsid w:val="00560EEF"/>
    <w:rsid w:val="00563085"/>
    <w:rsid w:val="005716F5"/>
    <w:rsid w:val="005744FD"/>
    <w:rsid w:val="00576C3B"/>
    <w:rsid w:val="0058597F"/>
    <w:rsid w:val="005B496A"/>
    <w:rsid w:val="005B7E9E"/>
    <w:rsid w:val="005C7139"/>
    <w:rsid w:val="005C7143"/>
    <w:rsid w:val="005E11FE"/>
    <w:rsid w:val="005E7228"/>
    <w:rsid w:val="00603502"/>
    <w:rsid w:val="006155E6"/>
    <w:rsid w:val="006367EA"/>
    <w:rsid w:val="00646284"/>
    <w:rsid w:val="006550A1"/>
    <w:rsid w:val="006616B0"/>
    <w:rsid w:val="00671834"/>
    <w:rsid w:val="006761C9"/>
    <w:rsid w:val="006830E0"/>
    <w:rsid w:val="0069071D"/>
    <w:rsid w:val="00691DD0"/>
    <w:rsid w:val="006A7D90"/>
    <w:rsid w:val="006B553A"/>
    <w:rsid w:val="006D1383"/>
    <w:rsid w:val="006D182C"/>
    <w:rsid w:val="006E5C4C"/>
    <w:rsid w:val="006F2F43"/>
    <w:rsid w:val="007116E7"/>
    <w:rsid w:val="00721758"/>
    <w:rsid w:val="0073611C"/>
    <w:rsid w:val="00741678"/>
    <w:rsid w:val="00755757"/>
    <w:rsid w:val="0076043D"/>
    <w:rsid w:val="00767EC0"/>
    <w:rsid w:val="00781149"/>
    <w:rsid w:val="00784C43"/>
    <w:rsid w:val="007932D8"/>
    <w:rsid w:val="007A601C"/>
    <w:rsid w:val="007A706D"/>
    <w:rsid w:val="007B4AC3"/>
    <w:rsid w:val="007B4FAE"/>
    <w:rsid w:val="007C084E"/>
    <w:rsid w:val="007C5A57"/>
    <w:rsid w:val="007D2A7A"/>
    <w:rsid w:val="007E1B63"/>
    <w:rsid w:val="007E7336"/>
    <w:rsid w:val="007F4B85"/>
    <w:rsid w:val="008078CF"/>
    <w:rsid w:val="008153F3"/>
    <w:rsid w:val="0081587B"/>
    <w:rsid w:val="00817E78"/>
    <w:rsid w:val="00837E07"/>
    <w:rsid w:val="0084357C"/>
    <w:rsid w:val="00847009"/>
    <w:rsid w:val="00856175"/>
    <w:rsid w:val="00856B83"/>
    <w:rsid w:val="008657CD"/>
    <w:rsid w:val="00867544"/>
    <w:rsid w:val="0087019B"/>
    <w:rsid w:val="008814EA"/>
    <w:rsid w:val="008901FB"/>
    <w:rsid w:val="00895039"/>
    <w:rsid w:val="00896811"/>
    <w:rsid w:val="00896EFA"/>
    <w:rsid w:val="008A68EF"/>
    <w:rsid w:val="008A697B"/>
    <w:rsid w:val="008B28A6"/>
    <w:rsid w:val="008B6867"/>
    <w:rsid w:val="008B7155"/>
    <w:rsid w:val="008C1173"/>
    <w:rsid w:val="008C29DA"/>
    <w:rsid w:val="008D4037"/>
    <w:rsid w:val="008E45D4"/>
    <w:rsid w:val="008F164B"/>
    <w:rsid w:val="008F512E"/>
    <w:rsid w:val="00906FC0"/>
    <w:rsid w:val="00906FC1"/>
    <w:rsid w:val="00910A6A"/>
    <w:rsid w:val="0091691B"/>
    <w:rsid w:val="00921B92"/>
    <w:rsid w:val="00925102"/>
    <w:rsid w:val="00936A6A"/>
    <w:rsid w:val="0094107C"/>
    <w:rsid w:val="0094499B"/>
    <w:rsid w:val="00957859"/>
    <w:rsid w:val="00962763"/>
    <w:rsid w:val="00967B34"/>
    <w:rsid w:val="00981753"/>
    <w:rsid w:val="009916DF"/>
    <w:rsid w:val="0099636C"/>
    <w:rsid w:val="00A1421D"/>
    <w:rsid w:val="00A24F08"/>
    <w:rsid w:val="00A2721F"/>
    <w:rsid w:val="00A35687"/>
    <w:rsid w:val="00A37075"/>
    <w:rsid w:val="00A40716"/>
    <w:rsid w:val="00A439BD"/>
    <w:rsid w:val="00A526E2"/>
    <w:rsid w:val="00A663E2"/>
    <w:rsid w:val="00A66789"/>
    <w:rsid w:val="00A8345C"/>
    <w:rsid w:val="00A8594A"/>
    <w:rsid w:val="00A87DCB"/>
    <w:rsid w:val="00A91BE4"/>
    <w:rsid w:val="00AB2F92"/>
    <w:rsid w:val="00AD4179"/>
    <w:rsid w:val="00AE3AE2"/>
    <w:rsid w:val="00AE54BE"/>
    <w:rsid w:val="00AE7AEF"/>
    <w:rsid w:val="00B07231"/>
    <w:rsid w:val="00B14EDD"/>
    <w:rsid w:val="00B205EF"/>
    <w:rsid w:val="00B32054"/>
    <w:rsid w:val="00B3317C"/>
    <w:rsid w:val="00B43901"/>
    <w:rsid w:val="00B508DA"/>
    <w:rsid w:val="00B737DB"/>
    <w:rsid w:val="00B75355"/>
    <w:rsid w:val="00B76CAD"/>
    <w:rsid w:val="00B924CC"/>
    <w:rsid w:val="00B93DC0"/>
    <w:rsid w:val="00BA035D"/>
    <w:rsid w:val="00BA310F"/>
    <w:rsid w:val="00BB4789"/>
    <w:rsid w:val="00BB613E"/>
    <w:rsid w:val="00BD2F7A"/>
    <w:rsid w:val="00BD7963"/>
    <w:rsid w:val="00BF0730"/>
    <w:rsid w:val="00BF66D5"/>
    <w:rsid w:val="00C0240A"/>
    <w:rsid w:val="00C17B62"/>
    <w:rsid w:val="00C22515"/>
    <w:rsid w:val="00C32734"/>
    <w:rsid w:val="00C36A2D"/>
    <w:rsid w:val="00C36FB0"/>
    <w:rsid w:val="00C376AA"/>
    <w:rsid w:val="00C428F0"/>
    <w:rsid w:val="00C47D91"/>
    <w:rsid w:val="00C62DFF"/>
    <w:rsid w:val="00C670F1"/>
    <w:rsid w:val="00C701AC"/>
    <w:rsid w:val="00C74541"/>
    <w:rsid w:val="00C84980"/>
    <w:rsid w:val="00C901E8"/>
    <w:rsid w:val="00C957F4"/>
    <w:rsid w:val="00C97AEB"/>
    <w:rsid w:val="00CA394F"/>
    <w:rsid w:val="00CA632A"/>
    <w:rsid w:val="00CA6606"/>
    <w:rsid w:val="00CB0A2E"/>
    <w:rsid w:val="00CB5F56"/>
    <w:rsid w:val="00CC31F1"/>
    <w:rsid w:val="00CC62F7"/>
    <w:rsid w:val="00CD1740"/>
    <w:rsid w:val="00CE0F55"/>
    <w:rsid w:val="00CF4ED8"/>
    <w:rsid w:val="00D06F99"/>
    <w:rsid w:val="00D15A8A"/>
    <w:rsid w:val="00D24FBE"/>
    <w:rsid w:val="00D274BC"/>
    <w:rsid w:val="00D31F60"/>
    <w:rsid w:val="00D323D3"/>
    <w:rsid w:val="00D32DE1"/>
    <w:rsid w:val="00D5020F"/>
    <w:rsid w:val="00D53559"/>
    <w:rsid w:val="00D62858"/>
    <w:rsid w:val="00D82D46"/>
    <w:rsid w:val="00D92D39"/>
    <w:rsid w:val="00DA1AC9"/>
    <w:rsid w:val="00DB1B6B"/>
    <w:rsid w:val="00DB2E25"/>
    <w:rsid w:val="00DB7DE2"/>
    <w:rsid w:val="00DD4F73"/>
    <w:rsid w:val="00DE278B"/>
    <w:rsid w:val="00DE7091"/>
    <w:rsid w:val="00DE7A6C"/>
    <w:rsid w:val="00DF1FEC"/>
    <w:rsid w:val="00DF3D10"/>
    <w:rsid w:val="00E0630E"/>
    <w:rsid w:val="00E26DD6"/>
    <w:rsid w:val="00E30BFA"/>
    <w:rsid w:val="00E54AF0"/>
    <w:rsid w:val="00E61B84"/>
    <w:rsid w:val="00E64564"/>
    <w:rsid w:val="00E74145"/>
    <w:rsid w:val="00E75411"/>
    <w:rsid w:val="00E770DF"/>
    <w:rsid w:val="00E84B72"/>
    <w:rsid w:val="00E900BC"/>
    <w:rsid w:val="00E96AC2"/>
    <w:rsid w:val="00EA6725"/>
    <w:rsid w:val="00EB0336"/>
    <w:rsid w:val="00EB33B1"/>
    <w:rsid w:val="00EB5218"/>
    <w:rsid w:val="00EB6F07"/>
    <w:rsid w:val="00EC3F04"/>
    <w:rsid w:val="00EF0278"/>
    <w:rsid w:val="00EF3831"/>
    <w:rsid w:val="00EF4216"/>
    <w:rsid w:val="00EF4E7B"/>
    <w:rsid w:val="00F0010F"/>
    <w:rsid w:val="00F00C0B"/>
    <w:rsid w:val="00F23237"/>
    <w:rsid w:val="00F24E6C"/>
    <w:rsid w:val="00F32B19"/>
    <w:rsid w:val="00F34527"/>
    <w:rsid w:val="00F500F0"/>
    <w:rsid w:val="00F52DB3"/>
    <w:rsid w:val="00F94360"/>
    <w:rsid w:val="00F94B8A"/>
    <w:rsid w:val="00F958DA"/>
    <w:rsid w:val="00FA5FC4"/>
    <w:rsid w:val="00FC0012"/>
    <w:rsid w:val="00FC7CCA"/>
    <w:rsid w:val="00FD4970"/>
    <w:rsid w:val="00FD56A1"/>
    <w:rsid w:val="00FF178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23C79"/>
  <w15:chartTrackingRefBased/>
  <w15:docId w15:val="{E36E3F54-4C14-4B76-8058-C8B8E742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F73"/>
    <w:pPr>
      <w:spacing w:after="0" w:line="240" w:lineRule="auto"/>
    </w:pPr>
    <w:rPr>
      <w:rFonts w:ascii="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DD4F73"/>
    <w:rPr>
      <w:color w:val="0563C1"/>
      <w:u w:val="single"/>
    </w:rPr>
  </w:style>
  <w:style w:type="paragraph" w:customStyle="1" w:styleId="documenttitle">
    <w:name w:val="documenttitle"/>
    <w:basedOn w:val="Normal"/>
    <w:rsid w:val="00DD4F73"/>
    <w:pPr>
      <w:spacing w:before="100" w:beforeAutospacing="1" w:after="100" w:afterAutospacing="1"/>
    </w:pPr>
    <w:rPr>
      <w:rFonts w:ascii="Times New Roman" w:hAnsi="Times New Roman" w:cs="Times New Roman"/>
      <w:sz w:val="24"/>
      <w:szCs w:val="24"/>
      <w:lang w:eastAsia="es-AR"/>
    </w:rPr>
  </w:style>
  <w:style w:type="paragraph" w:customStyle="1" w:styleId="content">
    <w:name w:val="content"/>
    <w:basedOn w:val="Normal"/>
    <w:rsid w:val="00DD4F73"/>
    <w:pPr>
      <w:spacing w:before="100" w:beforeAutospacing="1" w:after="100" w:afterAutospacing="1"/>
    </w:pPr>
    <w:rPr>
      <w:rFonts w:ascii="Times New Roman" w:hAnsi="Times New Roman" w:cs="Times New Roman"/>
      <w:sz w:val="24"/>
      <w:szCs w:val="24"/>
      <w:lang w:eastAsia="es-AR"/>
    </w:rPr>
  </w:style>
  <w:style w:type="character" w:customStyle="1" w:styleId="Ttulo1">
    <w:name w:val="Título1"/>
    <w:basedOn w:val="Fuentedeprrafopredeter"/>
    <w:rsid w:val="00DD4F73"/>
  </w:style>
  <w:style w:type="character" w:customStyle="1" w:styleId="headtext">
    <w:name w:val="headtext"/>
    <w:basedOn w:val="Fuentedeprrafopredeter"/>
    <w:rsid w:val="00DD4F73"/>
  </w:style>
  <w:style w:type="character" w:styleId="nfasis">
    <w:name w:val="Emphasis"/>
    <w:basedOn w:val="Fuentedeprrafopredeter"/>
    <w:uiPriority w:val="20"/>
    <w:qFormat/>
    <w:rsid w:val="00DD4F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79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2214</Words>
  <Characters>12178</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Eric Rosenberg</cp:lastModifiedBy>
  <cp:revision>4</cp:revision>
  <dcterms:created xsi:type="dcterms:W3CDTF">2023-03-29T13:07:00Z</dcterms:created>
  <dcterms:modified xsi:type="dcterms:W3CDTF">2023-04-19T15:11:00Z</dcterms:modified>
</cp:coreProperties>
</file>